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8A14" w14:textId="77777777" w:rsidR="000B5557" w:rsidRDefault="000B5557" w:rsidP="000B5557">
      <w:pPr>
        <w:pStyle w:val="Duidelijkcitaat"/>
      </w:pPr>
      <w:r>
        <w:t>Checklist vergoedbaar overleg</w:t>
      </w:r>
    </w:p>
    <w:p w14:paraId="4FCBFFE6" w14:textId="77777777" w:rsidR="000B5557" w:rsidRPr="0099785B" w:rsidRDefault="000B5557" w:rsidP="000B5557">
      <w:pPr>
        <w:rPr>
          <w:i/>
          <w:iCs/>
          <w:sz w:val="18"/>
          <w:szCs w:val="18"/>
        </w:rPr>
      </w:pPr>
      <w:r w:rsidRPr="0099785B">
        <w:rPr>
          <w:i/>
          <w:iCs/>
          <w:sz w:val="18"/>
          <w:szCs w:val="18"/>
        </w:rPr>
        <w:t>Te gebruiken door overlegorganisatoren bij het vaststellen van de vergoedbaarheid en de te vergoeden deelnemers</w:t>
      </w:r>
      <w:r w:rsidR="005F1FCB">
        <w:rPr>
          <w:i/>
          <w:iCs/>
          <w:sz w:val="18"/>
          <w:szCs w:val="18"/>
        </w:rPr>
        <w:t>. Het sjabloon zorgplan kan gebruikt worden, maar vormt geen verplichting. Elk document, opgesteld naar aanleiding van het multidisciplinair overleg, dat dezelfde elementen bevat als het sjabloon zorgplan, wordt aanvaard.</w:t>
      </w:r>
    </w:p>
    <w:p w14:paraId="60250434" w14:textId="77777777" w:rsidR="000B5557" w:rsidRDefault="0099785B" w:rsidP="000B5557">
      <w:r w:rsidRPr="0099785B">
        <w:rPr>
          <w:rStyle w:val="Intensieveverwijzing"/>
        </w:rPr>
        <w:t>Vaststellen vergoedbaarheid</w:t>
      </w:r>
      <w:r>
        <w:t xml:space="preserve"> (a</w:t>
      </w:r>
      <w:r w:rsidR="000B5557">
        <w:t>f te vinken in volgorde van de tabel</w:t>
      </w:r>
      <w:r>
        <w:t>)</w:t>
      </w:r>
    </w:p>
    <w:tbl>
      <w:tblPr>
        <w:tblStyle w:val="Tabelraster"/>
        <w:tblW w:w="0" w:type="auto"/>
        <w:tblLook w:val="04A0" w:firstRow="1" w:lastRow="0" w:firstColumn="1" w:lastColumn="0" w:noHBand="0" w:noVBand="1"/>
      </w:tblPr>
      <w:tblGrid>
        <w:gridCol w:w="527"/>
        <w:gridCol w:w="4448"/>
        <w:gridCol w:w="4087"/>
      </w:tblGrid>
      <w:tr w:rsidR="000B5557" w:rsidRPr="000B5557" w14:paraId="2A85FB04" w14:textId="77777777" w:rsidTr="005F1FCB">
        <w:tc>
          <w:tcPr>
            <w:tcW w:w="534" w:type="dxa"/>
          </w:tcPr>
          <w:p w14:paraId="071F1D14" w14:textId="77777777" w:rsidR="000B5557" w:rsidRPr="000B5557" w:rsidRDefault="000B5557" w:rsidP="000B5557">
            <w:pPr>
              <w:jc w:val="center"/>
              <w:rPr>
                <w:b/>
                <w:bCs/>
              </w:rPr>
            </w:pPr>
            <w:r w:rsidRPr="000B5557">
              <w:rPr>
                <w:rFonts w:cstheme="minorHAnsi"/>
                <w:b/>
                <w:bCs/>
              </w:rPr>
              <w:t>√</w:t>
            </w:r>
          </w:p>
        </w:tc>
        <w:tc>
          <w:tcPr>
            <w:tcW w:w="4536" w:type="dxa"/>
          </w:tcPr>
          <w:p w14:paraId="4FAB481B" w14:textId="77777777" w:rsidR="000B5557" w:rsidRPr="000B5557" w:rsidRDefault="000B5557" w:rsidP="000B5557">
            <w:pPr>
              <w:rPr>
                <w:b/>
                <w:bCs/>
              </w:rPr>
            </w:pPr>
            <w:r w:rsidRPr="000B5557">
              <w:rPr>
                <w:b/>
                <w:bCs/>
              </w:rPr>
              <w:t xml:space="preserve">Criterium </w:t>
            </w:r>
          </w:p>
        </w:tc>
        <w:tc>
          <w:tcPr>
            <w:tcW w:w="4142" w:type="dxa"/>
          </w:tcPr>
          <w:p w14:paraId="78FA045A" w14:textId="77777777" w:rsidR="000B5557" w:rsidRPr="000B5557" w:rsidRDefault="000B5557" w:rsidP="000B5557">
            <w:pPr>
              <w:rPr>
                <w:b/>
                <w:bCs/>
              </w:rPr>
            </w:pPr>
            <w:r w:rsidRPr="000B5557">
              <w:rPr>
                <w:b/>
                <w:bCs/>
              </w:rPr>
              <w:t xml:space="preserve">Opmerking </w:t>
            </w:r>
          </w:p>
        </w:tc>
      </w:tr>
      <w:tr w:rsidR="000B5557" w14:paraId="60CA7781" w14:textId="77777777" w:rsidTr="005F1FCB">
        <w:tc>
          <w:tcPr>
            <w:tcW w:w="534" w:type="dxa"/>
          </w:tcPr>
          <w:p w14:paraId="70FB87EA" w14:textId="77777777" w:rsidR="000B5557" w:rsidRDefault="000B5557" w:rsidP="000B5557">
            <w:pPr>
              <w:jc w:val="center"/>
              <w:rPr>
                <w:rFonts w:cstheme="minorHAnsi"/>
              </w:rPr>
            </w:pPr>
          </w:p>
        </w:tc>
        <w:tc>
          <w:tcPr>
            <w:tcW w:w="4536" w:type="dxa"/>
          </w:tcPr>
          <w:p w14:paraId="7C9A1670" w14:textId="77777777" w:rsidR="000B5557" w:rsidRDefault="000B5557" w:rsidP="000B5557">
            <w:r>
              <w:t xml:space="preserve">De persoon met een zorg- en ondersteuningsnood verblijft in de thuisomgeving of zal, na een opname, binnen de acht dagen naar zijn thuisomgeving terugkeren. </w:t>
            </w:r>
          </w:p>
        </w:tc>
        <w:tc>
          <w:tcPr>
            <w:tcW w:w="4142" w:type="dxa"/>
          </w:tcPr>
          <w:p w14:paraId="3E5BBF66" w14:textId="7543813F" w:rsidR="000B5557" w:rsidRDefault="000B5557" w:rsidP="000B5557">
            <w:r>
              <w:t>Personen die verblijven in serviceflats of assistentiewoningen behoren ook tot deze groep.</w:t>
            </w:r>
            <w:r w:rsidR="009645E6">
              <w:t xml:space="preserve"> Overleg met personen verblijvende in een woonzorgcentrum is niet vergoedbaar.</w:t>
            </w:r>
          </w:p>
        </w:tc>
      </w:tr>
      <w:tr w:rsidR="000B5557" w14:paraId="50093ACF" w14:textId="77777777" w:rsidTr="005F1FCB">
        <w:tc>
          <w:tcPr>
            <w:tcW w:w="534" w:type="dxa"/>
          </w:tcPr>
          <w:p w14:paraId="52578CB1" w14:textId="77777777" w:rsidR="000B5557" w:rsidRDefault="000B5557" w:rsidP="000B5557">
            <w:pPr>
              <w:jc w:val="center"/>
              <w:rPr>
                <w:rFonts w:cstheme="minorHAnsi"/>
              </w:rPr>
            </w:pPr>
          </w:p>
        </w:tc>
        <w:tc>
          <w:tcPr>
            <w:tcW w:w="4536" w:type="dxa"/>
          </w:tcPr>
          <w:p w14:paraId="03BD53AC" w14:textId="3ADC26DF" w:rsidR="000B5557" w:rsidRDefault="000B5557" w:rsidP="000B5557">
            <w:r>
              <w:t>De huisarts</w:t>
            </w:r>
            <w:r w:rsidR="00C22EDE">
              <w:t xml:space="preserve">, of psychiater in geval van psychiatrische problematiek, </w:t>
            </w:r>
            <w:r>
              <w:t>neemt deel aan het gesprek: door fysieke aanwezigheid, via video- of telefoongesprek.</w:t>
            </w:r>
          </w:p>
        </w:tc>
        <w:tc>
          <w:tcPr>
            <w:tcW w:w="4142" w:type="dxa"/>
          </w:tcPr>
          <w:p w14:paraId="113F9A25" w14:textId="6EAFB47C" w:rsidR="000B5557" w:rsidRDefault="000B5557" w:rsidP="000B5557">
            <w:r>
              <w:t xml:space="preserve">In </w:t>
            </w:r>
            <w:r w:rsidRPr="000B5557">
              <w:rPr>
                <w:b/>
                <w:bCs/>
              </w:rPr>
              <w:t>uitzonderlijke omstandigheid</w:t>
            </w:r>
            <w:r>
              <w:t xml:space="preserve"> wordt toegelaten om, als de huisarts</w:t>
            </w:r>
            <w:r w:rsidR="00C22EDE">
              <w:t>/psychiater</w:t>
            </w:r>
            <w:r>
              <w:t xml:space="preserve"> </w:t>
            </w:r>
            <w:r w:rsidR="00C22EDE">
              <w:t xml:space="preserve">(bij psychiatrische problematiek) </w:t>
            </w:r>
            <w:r>
              <w:t>last minute zijn deelname annuleert, het overleg toch te vergoeden. Er moet alles aan gedaan worden de huisarts</w:t>
            </w:r>
            <w:r w:rsidR="00C22EDE">
              <w:t>/psychiater</w:t>
            </w:r>
            <w:r>
              <w:t xml:space="preserve"> toch bij het overleg te betrekken (telefoon, video)</w:t>
            </w:r>
            <w:r w:rsidR="0099785B">
              <w:t>.</w:t>
            </w:r>
            <w:r w:rsidR="009645E6">
              <w:t xml:space="preserve"> Aan de overlegorganisator wordt een verklaring op eer gevraagd (zie sjabloon zorgplan) om aan te geven dat de huisarts</w:t>
            </w:r>
            <w:r w:rsidR="00C22EDE">
              <w:t>/psychiater</w:t>
            </w:r>
            <w:r w:rsidR="009645E6">
              <w:t xml:space="preserve"> last minute niet aanwezig is. Hierdoor komt de vergoedbaarheid van het overleg niet in het gedrang.</w:t>
            </w:r>
          </w:p>
        </w:tc>
      </w:tr>
      <w:tr w:rsidR="000B5557" w14:paraId="3052D843" w14:textId="77777777" w:rsidTr="005F1FCB">
        <w:tc>
          <w:tcPr>
            <w:tcW w:w="534" w:type="dxa"/>
          </w:tcPr>
          <w:p w14:paraId="0D21E7FA" w14:textId="77777777" w:rsidR="000B5557" w:rsidRDefault="000B5557" w:rsidP="000B5557">
            <w:pPr>
              <w:jc w:val="center"/>
              <w:rPr>
                <w:rFonts w:cstheme="minorHAnsi"/>
              </w:rPr>
            </w:pPr>
          </w:p>
        </w:tc>
        <w:tc>
          <w:tcPr>
            <w:tcW w:w="4536" w:type="dxa"/>
          </w:tcPr>
          <w:p w14:paraId="68CD0DF3" w14:textId="33E38B0A" w:rsidR="000B5557" w:rsidRDefault="00B83859" w:rsidP="000B5557">
            <w:r>
              <w:t>De nodige verklaringen over de aan- of afwezigheid van de persoon</w:t>
            </w:r>
            <w:r w:rsidR="0099785B">
              <w:t xml:space="preserve"> met een zorg- en ondersteuningsnood of zijn </w:t>
            </w:r>
            <w:r>
              <w:t>(</w:t>
            </w:r>
            <w:r w:rsidR="0099785B">
              <w:t>wettelijke</w:t>
            </w:r>
            <w:r>
              <w:t>)</w:t>
            </w:r>
            <w:r w:rsidR="0099785B">
              <w:t xml:space="preserve"> vertegenwoordiger</w:t>
            </w:r>
            <w:r w:rsidR="00C22EDE">
              <w:t>, indien aanwezig</w:t>
            </w:r>
            <w:r>
              <w:t xml:space="preserve"> zijn ondertekend en bij het zorgplan gevoegd</w:t>
            </w:r>
            <w:r w:rsidR="0099785B">
              <w:t>.</w:t>
            </w:r>
            <w:r w:rsidR="002C4DA1">
              <w:t xml:space="preserve"> De verklaring rond de toestemming verwerking persoonsgegevens en samenstelling overleg moet altijd bij het zorgplan gevoegd zijn.</w:t>
            </w:r>
          </w:p>
        </w:tc>
        <w:tc>
          <w:tcPr>
            <w:tcW w:w="4142" w:type="dxa"/>
          </w:tcPr>
          <w:p w14:paraId="4DBD0B8D" w14:textId="77777777" w:rsidR="000B5557" w:rsidRDefault="00B83859" w:rsidP="000B5557">
            <w:r>
              <w:t>Drie types van verklaringen zijn mogelijk:</w:t>
            </w:r>
          </w:p>
          <w:p w14:paraId="7933498F" w14:textId="0930BB41" w:rsidR="00B83859" w:rsidRDefault="00B83859" w:rsidP="00B83859">
            <w:pPr>
              <w:pStyle w:val="Lijstalinea"/>
              <w:numPr>
                <w:ilvl w:val="0"/>
                <w:numId w:val="10"/>
              </w:numPr>
            </w:pPr>
            <w:r>
              <w:t xml:space="preserve">Persoon </w:t>
            </w:r>
            <w:r w:rsidR="002C4DA1">
              <w:t>geeft toestemming voor verwerking persoonsgegevens</w:t>
            </w:r>
            <w:r>
              <w:t xml:space="preserve"> en </w:t>
            </w:r>
            <w:r w:rsidR="002C4DA1">
              <w:t xml:space="preserve">gaat </w:t>
            </w:r>
            <w:r>
              <w:t>akkoord met samenstelling</w:t>
            </w:r>
            <w:r w:rsidR="002C4DA1">
              <w:t xml:space="preserve"> overleg</w:t>
            </w:r>
            <w:r>
              <w:t>;</w:t>
            </w:r>
          </w:p>
          <w:p w14:paraId="6A6A0FE0" w14:textId="77777777" w:rsidR="00B83859" w:rsidRDefault="00B83859" w:rsidP="00B83859">
            <w:pPr>
              <w:pStyle w:val="Lijstalinea"/>
              <w:numPr>
                <w:ilvl w:val="0"/>
                <w:numId w:val="10"/>
              </w:numPr>
            </w:pPr>
            <w:r>
              <w:t>Persoon wenst niet deel te nemen;</w:t>
            </w:r>
          </w:p>
          <w:p w14:paraId="1D9D22F5" w14:textId="156F041D" w:rsidR="00B83859" w:rsidRDefault="00B83859" w:rsidP="00B83859">
            <w:pPr>
              <w:pStyle w:val="Lijstalinea"/>
              <w:numPr>
                <w:ilvl w:val="0"/>
                <w:numId w:val="10"/>
              </w:numPr>
            </w:pPr>
            <w:r>
              <w:t>Zorgaanbieders verklaren dat persoon best niet deelneemt.</w:t>
            </w:r>
          </w:p>
        </w:tc>
      </w:tr>
      <w:tr w:rsidR="00B32C68" w14:paraId="0BB52D68" w14:textId="77777777" w:rsidTr="005F1FCB">
        <w:tc>
          <w:tcPr>
            <w:tcW w:w="534" w:type="dxa"/>
          </w:tcPr>
          <w:p w14:paraId="753F5236" w14:textId="77777777" w:rsidR="00B32C68" w:rsidRDefault="00B32C68" w:rsidP="000B5557">
            <w:pPr>
              <w:jc w:val="center"/>
              <w:rPr>
                <w:rFonts w:cstheme="minorHAnsi"/>
              </w:rPr>
            </w:pPr>
          </w:p>
        </w:tc>
        <w:tc>
          <w:tcPr>
            <w:tcW w:w="4536" w:type="dxa"/>
          </w:tcPr>
          <w:p w14:paraId="1941D396" w14:textId="77777777" w:rsidR="00B32C68" w:rsidRDefault="00B32C68" w:rsidP="000B5557">
            <w:r>
              <w:t>Er zijn deelnemers van minimaal drie verschillende disciplines aanwezig, naast de overlegorganisator.</w:t>
            </w:r>
          </w:p>
        </w:tc>
        <w:tc>
          <w:tcPr>
            <w:tcW w:w="4142" w:type="dxa"/>
          </w:tcPr>
          <w:p w14:paraId="0D5EDF9C" w14:textId="77777777" w:rsidR="00B32C68" w:rsidRDefault="00B32C68" w:rsidP="000B5557">
            <w:r>
              <w:t>De zorgbemiddelaar, indien aangeduid en een professionele zorgaanbieder, behoort tot deze drie disciplines.</w:t>
            </w:r>
          </w:p>
        </w:tc>
      </w:tr>
    </w:tbl>
    <w:p w14:paraId="409B9811" w14:textId="77777777" w:rsidR="000B5557" w:rsidRDefault="000B5557" w:rsidP="000B5557"/>
    <w:p w14:paraId="2C25A13D" w14:textId="77777777" w:rsidR="005F1FCB" w:rsidRDefault="005F1FCB" w:rsidP="005F1FCB">
      <w:pPr>
        <w:pBdr>
          <w:top w:val="thinThickSmallGap" w:sz="24" w:space="1" w:color="auto"/>
          <w:left w:val="thinThickSmallGap" w:sz="24" w:space="4" w:color="auto"/>
          <w:bottom w:val="thickThinSmallGap" w:sz="24" w:space="1" w:color="auto"/>
          <w:right w:val="thickThinSmallGap" w:sz="24" w:space="4" w:color="auto"/>
        </w:pBdr>
      </w:pPr>
      <w:r>
        <w:t>Opgelet! Er is per persoon met een zorg- en ondersteuningsnood slechts 1 overleg vergoedbaar per periode van 365 dagen. Een overleg dat doorgaat op 2 mei 2020 kan pas opgevolgd worden door een nieuw vergoedbaar overleg op 3 mei 2021!</w:t>
      </w:r>
    </w:p>
    <w:p w14:paraId="3AA76B91" w14:textId="69290B59" w:rsidR="005F1FCB" w:rsidRDefault="005F1FCB" w:rsidP="000B5557">
      <w:pPr>
        <w:rPr>
          <w:rStyle w:val="Intensieveverwijzing"/>
        </w:rPr>
      </w:pPr>
    </w:p>
    <w:p w14:paraId="66A54785" w14:textId="6DB5B29F" w:rsidR="007A5E14" w:rsidRDefault="007A5E14" w:rsidP="000B5557">
      <w:pPr>
        <w:rPr>
          <w:rStyle w:val="Intensieveverwijzing"/>
        </w:rPr>
      </w:pPr>
    </w:p>
    <w:p w14:paraId="6D2F4634" w14:textId="77777777" w:rsidR="00185BAA" w:rsidRDefault="005F1FCB" w:rsidP="009645E6">
      <w:pPr>
        <w:rPr>
          <w:rStyle w:val="Intensieveverwijzing"/>
        </w:rPr>
      </w:pPr>
      <w:r>
        <w:rPr>
          <w:rStyle w:val="Intensieveverwijzing"/>
        </w:rPr>
        <w:lastRenderedPageBreak/>
        <w:t>Bepalen</w:t>
      </w:r>
      <w:r w:rsidR="0099785B" w:rsidRPr="0099785B">
        <w:rPr>
          <w:rStyle w:val="Intensieveverwijzing"/>
        </w:rPr>
        <w:t xml:space="preserve"> </w:t>
      </w:r>
      <w:r>
        <w:rPr>
          <w:rStyle w:val="Intensieveverwijzing"/>
        </w:rPr>
        <w:t xml:space="preserve">van de </w:t>
      </w:r>
      <w:r w:rsidR="0099785B" w:rsidRPr="0099785B">
        <w:rPr>
          <w:rStyle w:val="Intensieveverwijzing"/>
        </w:rPr>
        <w:t>deelnemers</w:t>
      </w:r>
      <w:r>
        <w:rPr>
          <w:rStyle w:val="Intensieveverwijzing"/>
        </w:rPr>
        <w:t xml:space="preserve"> die vergoeding ontvangen</w:t>
      </w:r>
    </w:p>
    <w:p w14:paraId="353794FC" w14:textId="77777777" w:rsidR="007A5E14" w:rsidRDefault="00185BAA" w:rsidP="00185BAA">
      <w:pPr>
        <w:pBdr>
          <w:top w:val="dashSmallGap" w:sz="4" w:space="1" w:color="auto"/>
          <w:left w:val="dashSmallGap" w:sz="4" w:space="4" w:color="auto"/>
          <w:bottom w:val="dashSmallGap" w:sz="4" w:space="1" w:color="auto"/>
          <w:right w:val="dashSmallGap" w:sz="4" w:space="4" w:color="auto"/>
        </w:pBdr>
        <w:rPr>
          <w:i/>
          <w:iCs/>
          <w:color w:val="548DD4" w:themeColor="text2" w:themeTint="99"/>
          <w:sz w:val="18"/>
          <w:szCs w:val="18"/>
        </w:rPr>
      </w:pPr>
      <w:r w:rsidRPr="00665989">
        <w:rPr>
          <w:i/>
          <w:iCs/>
          <w:color w:val="548DD4" w:themeColor="text2" w:themeTint="99"/>
          <w:sz w:val="18"/>
          <w:szCs w:val="18"/>
        </w:rPr>
        <w:t xml:space="preserve">Hoe toepassen? </w:t>
      </w:r>
    </w:p>
    <w:p w14:paraId="43D65B50" w14:textId="68E1B05B" w:rsidR="000B5557" w:rsidRPr="00665989" w:rsidRDefault="00185BAA" w:rsidP="00185BAA">
      <w:pPr>
        <w:pBdr>
          <w:top w:val="dashSmallGap" w:sz="4" w:space="1" w:color="auto"/>
          <w:left w:val="dashSmallGap" w:sz="4" w:space="4" w:color="auto"/>
          <w:bottom w:val="dashSmallGap" w:sz="4" w:space="1" w:color="auto"/>
          <w:right w:val="dashSmallGap" w:sz="4" w:space="4" w:color="auto"/>
        </w:pBdr>
        <w:rPr>
          <w:sz w:val="18"/>
          <w:szCs w:val="18"/>
        </w:rPr>
      </w:pPr>
      <w:r w:rsidRPr="00665989">
        <w:rPr>
          <w:sz w:val="18"/>
          <w:szCs w:val="18"/>
        </w:rPr>
        <w:t>Is er een huisarts aanwezig, dan telt die als eerste deelnemer. Is die er niet, dan is de thuisverpleegkundige/vroedvrouw de eerste deelnemer. En zo verder. Dit geldt alleen als die discipline niet de rol van zorgbemiddelaar opneemt. Als dat het geval is, komt de vergoeding van deelnemer van deze discipline vrij voor een andere deelnemer</w:t>
      </w:r>
      <w:r w:rsidR="009645E6" w:rsidRPr="00665989">
        <w:rPr>
          <w:sz w:val="18"/>
          <w:szCs w:val="18"/>
        </w:rPr>
        <w:t>)</w:t>
      </w:r>
      <w:r w:rsidRPr="00665989">
        <w:rPr>
          <w:sz w:val="18"/>
          <w:szCs w:val="18"/>
        </w:rPr>
        <w:t>.</w:t>
      </w:r>
    </w:p>
    <w:p w14:paraId="5E988634" w14:textId="77777777" w:rsidR="00574066" w:rsidRDefault="0099785B" w:rsidP="0099785B">
      <w:pPr>
        <w:pStyle w:val="Lijstalinea"/>
        <w:numPr>
          <w:ilvl w:val="0"/>
          <w:numId w:val="8"/>
        </w:numPr>
        <w:rPr>
          <w:bCs/>
        </w:rPr>
      </w:pPr>
      <w:r>
        <w:rPr>
          <w:bCs/>
        </w:rPr>
        <w:t>H</w:t>
      </w:r>
      <w:r w:rsidRPr="0099785B">
        <w:rPr>
          <w:bCs/>
        </w:rPr>
        <w:t>uisarts</w:t>
      </w:r>
    </w:p>
    <w:p w14:paraId="1179EA66" w14:textId="3A20F037" w:rsidR="000B5557" w:rsidRDefault="00574066" w:rsidP="0099785B">
      <w:pPr>
        <w:pStyle w:val="Lijstalinea"/>
        <w:numPr>
          <w:ilvl w:val="0"/>
          <w:numId w:val="8"/>
        </w:numPr>
        <w:rPr>
          <w:bCs/>
        </w:rPr>
      </w:pPr>
      <w:r>
        <w:rPr>
          <w:bCs/>
        </w:rPr>
        <w:t>P</w:t>
      </w:r>
      <w:r w:rsidR="0099785B">
        <w:rPr>
          <w:bCs/>
        </w:rPr>
        <w:t>sychiater bij afwezigheid van de huisarts bij personen met psychiatrische problematiek</w:t>
      </w:r>
    </w:p>
    <w:p w14:paraId="0D2218D5" w14:textId="77777777" w:rsidR="0099785B" w:rsidRDefault="0099785B" w:rsidP="0099785B">
      <w:pPr>
        <w:pStyle w:val="Lijstalinea"/>
        <w:numPr>
          <w:ilvl w:val="0"/>
          <w:numId w:val="8"/>
        </w:numPr>
        <w:rPr>
          <w:bCs/>
        </w:rPr>
      </w:pPr>
      <w:r>
        <w:rPr>
          <w:bCs/>
        </w:rPr>
        <w:t>Thuisverpleging en vroedvrouwen (op zelfstandige basis werkend)</w:t>
      </w:r>
    </w:p>
    <w:p w14:paraId="701F6BAF" w14:textId="77777777" w:rsidR="0099785B" w:rsidRDefault="0099785B" w:rsidP="0099785B">
      <w:pPr>
        <w:pStyle w:val="Lijstalinea"/>
        <w:numPr>
          <w:ilvl w:val="0"/>
          <w:numId w:val="8"/>
        </w:numPr>
        <w:rPr>
          <w:bCs/>
        </w:rPr>
      </w:pPr>
      <w:r>
        <w:rPr>
          <w:bCs/>
        </w:rPr>
        <w:t>Thuisverpleging (in loondienst)</w:t>
      </w:r>
    </w:p>
    <w:p w14:paraId="1BC9D04E" w14:textId="77777777" w:rsidR="000E49EC" w:rsidRDefault="000E49EC" w:rsidP="000E49EC">
      <w:pPr>
        <w:pStyle w:val="Lijstalinea"/>
        <w:numPr>
          <w:ilvl w:val="0"/>
          <w:numId w:val="8"/>
        </w:numPr>
        <w:rPr>
          <w:bCs/>
        </w:rPr>
      </w:pPr>
      <w:r>
        <w:rPr>
          <w:bCs/>
        </w:rPr>
        <w:t>Kinesitherapeut (op zelfstandige basis werkend)</w:t>
      </w:r>
    </w:p>
    <w:p w14:paraId="0072FD48" w14:textId="77777777" w:rsidR="0099785B" w:rsidRDefault="0099785B" w:rsidP="0099785B">
      <w:pPr>
        <w:pStyle w:val="Lijstalinea"/>
        <w:numPr>
          <w:ilvl w:val="0"/>
          <w:numId w:val="8"/>
        </w:numPr>
        <w:rPr>
          <w:bCs/>
        </w:rPr>
      </w:pPr>
      <w:r>
        <w:rPr>
          <w:bCs/>
        </w:rPr>
        <w:t>Diensten gezinszorg</w:t>
      </w:r>
    </w:p>
    <w:p w14:paraId="566B6B6D" w14:textId="77777777" w:rsidR="0099785B" w:rsidRDefault="0099785B" w:rsidP="0099785B">
      <w:pPr>
        <w:pStyle w:val="Lijstalinea"/>
        <w:numPr>
          <w:ilvl w:val="0"/>
          <w:numId w:val="8"/>
        </w:numPr>
        <w:rPr>
          <w:bCs/>
        </w:rPr>
      </w:pPr>
      <w:r>
        <w:rPr>
          <w:bCs/>
        </w:rPr>
        <w:t>Maatschappelijk werk</w:t>
      </w:r>
    </w:p>
    <w:p w14:paraId="72051E3F" w14:textId="77777777" w:rsidR="0099785B" w:rsidRDefault="0099785B" w:rsidP="0099785B">
      <w:pPr>
        <w:pStyle w:val="Lijstalinea"/>
        <w:numPr>
          <w:ilvl w:val="1"/>
          <w:numId w:val="8"/>
        </w:numPr>
        <w:rPr>
          <w:bCs/>
        </w:rPr>
      </w:pPr>
      <w:r>
        <w:rPr>
          <w:bCs/>
        </w:rPr>
        <w:t>OCMW</w:t>
      </w:r>
    </w:p>
    <w:p w14:paraId="49664089" w14:textId="77777777" w:rsidR="0099785B" w:rsidRDefault="0099785B" w:rsidP="0099785B">
      <w:pPr>
        <w:pStyle w:val="Lijstalinea"/>
        <w:numPr>
          <w:ilvl w:val="1"/>
          <w:numId w:val="8"/>
        </w:numPr>
        <w:rPr>
          <w:bCs/>
        </w:rPr>
      </w:pPr>
      <w:r>
        <w:rPr>
          <w:bCs/>
        </w:rPr>
        <w:t>DMW</w:t>
      </w:r>
    </w:p>
    <w:p w14:paraId="72C6A61A" w14:textId="77777777" w:rsidR="0099785B" w:rsidRDefault="0099785B" w:rsidP="0099785B">
      <w:pPr>
        <w:pStyle w:val="Lijstalinea"/>
        <w:numPr>
          <w:ilvl w:val="1"/>
          <w:numId w:val="8"/>
        </w:numPr>
        <w:rPr>
          <w:bCs/>
        </w:rPr>
      </w:pPr>
      <w:r>
        <w:rPr>
          <w:bCs/>
        </w:rPr>
        <w:t>CAW</w:t>
      </w:r>
    </w:p>
    <w:p w14:paraId="49DF2795" w14:textId="77777777" w:rsidR="0099785B" w:rsidRDefault="0099785B" w:rsidP="0099785B">
      <w:pPr>
        <w:pStyle w:val="Lijstalinea"/>
        <w:numPr>
          <w:ilvl w:val="0"/>
          <w:numId w:val="8"/>
        </w:numPr>
        <w:rPr>
          <w:bCs/>
        </w:rPr>
      </w:pPr>
      <w:r>
        <w:rPr>
          <w:bCs/>
        </w:rPr>
        <w:t>Klinisch psycholoog/orthopedagoog (op zelfstandige basis werkend)</w:t>
      </w:r>
    </w:p>
    <w:p w14:paraId="2A53AB36" w14:textId="77777777" w:rsidR="00A5531C" w:rsidRPr="00E0727B" w:rsidRDefault="00A5531C" w:rsidP="00A5531C">
      <w:pPr>
        <w:pStyle w:val="Lijstalinea"/>
        <w:numPr>
          <w:ilvl w:val="0"/>
          <w:numId w:val="8"/>
        </w:numPr>
        <w:rPr>
          <w:bCs/>
          <w:lang w:val="en-US"/>
        </w:rPr>
      </w:pPr>
      <w:proofErr w:type="spellStart"/>
      <w:r w:rsidRPr="0015411E">
        <w:rPr>
          <w:lang w:val="en-US"/>
        </w:rPr>
        <w:t>Mobiele</w:t>
      </w:r>
      <w:proofErr w:type="spellEnd"/>
      <w:r w:rsidRPr="0015411E">
        <w:rPr>
          <w:lang w:val="en-US"/>
        </w:rPr>
        <w:t xml:space="preserve"> teams </w:t>
      </w:r>
      <w:proofErr w:type="spellStart"/>
      <w:r w:rsidRPr="0015411E">
        <w:rPr>
          <w:lang w:val="en-US"/>
        </w:rPr>
        <w:t>ikv</w:t>
      </w:r>
      <w:proofErr w:type="spellEnd"/>
      <w:r w:rsidRPr="0015411E">
        <w:rPr>
          <w:lang w:val="en-US"/>
        </w:rPr>
        <w:t xml:space="preserve"> art 107 / art 11</w:t>
      </w:r>
    </w:p>
    <w:p w14:paraId="10FE6DF3" w14:textId="77777777" w:rsidR="0099785B" w:rsidRDefault="0099785B" w:rsidP="0099785B">
      <w:pPr>
        <w:pStyle w:val="Lijstalinea"/>
        <w:numPr>
          <w:ilvl w:val="0"/>
          <w:numId w:val="8"/>
        </w:numPr>
        <w:rPr>
          <w:bCs/>
        </w:rPr>
      </w:pPr>
      <w:r>
        <w:rPr>
          <w:bCs/>
        </w:rPr>
        <w:t>Apotheker</w:t>
      </w:r>
    </w:p>
    <w:p w14:paraId="4B4350FA" w14:textId="77777777" w:rsidR="0099785B" w:rsidRDefault="0099785B" w:rsidP="0099785B">
      <w:pPr>
        <w:pStyle w:val="Lijstalinea"/>
        <w:numPr>
          <w:ilvl w:val="0"/>
          <w:numId w:val="8"/>
        </w:numPr>
        <w:rPr>
          <w:bCs/>
        </w:rPr>
      </w:pPr>
      <w:r>
        <w:rPr>
          <w:bCs/>
        </w:rPr>
        <w:t>Centra Leerlingenbegeleiding</w:t>
      </w:r>
    </w:p>
    <w:p w14:paraId="70867137" w14:textId="77777777" w:rsidR="0099785B" w:rsidRDefault="0099785B" w:rsidP="0099785B">
      <w:pPr>
        <w:pStyle w:val="Lijstalinea"/>
        <w:numPr>
          <w:ilvl w:val="0"/>
          <w:numId w:val="8"/>
        </w:numPr>
        <w:rPr>
          <w:bCs/>
        </w:rPr>
      </w:pPr>
      <w:r>
        <w:rPr>
          <w:bCs/>
        </w:rPr>
        <w:t xml:space="preserve">Andere zelfstandige </w:t>
      </w:r>
      <w:r w:rsidR="00E0727B">
        <w:rPr>
          <w:bCs/>
        </w:rPr>
        <w:t>eerstelijnszorg</w:t>
      </w:r>
      <w:r>
        <w:rPr>
          <w:bCs/>
        </w:rPr>
        <w:t xml:space="preserve">beroepen: diëtist, logopedist, </w:t>
      </w:r>
      <w:r w:rsidR="00E0727B">
        <w:rPr>
          <w:bCs/>
        </w:rPr>
        <w:t>ergotherapeut, …</w:t>
      </w:r>
    </w:p>
    <w:p w14:paraId="748043A8" w14:textId="77777777" w:rsidR="00E0727B" w:rsidRPr="00E0727B" w:rsidRDefault="00E0727B" w:rsidP="0099785B">
      <w:pPr>
        <w:pStyle w:val="Lijstalinea"/>
        <w:numPr>
          <w:ilvl w:val="0"/>
          <w:numId w:val="8"/>
        </w:numPr>
        <w:rPr>
          <w:bCs/>
        </w:rPr>
      </w:pPr>
      <w:r w:rsidRPr="00E0727B">
        <w:t>Ambulante VAPH-voorzieningen zoals b</w:t>
      </w:r>
      <w:r>
        <w:t>egeleid wonen</w:t>
      </w:r>
    </w:p>
    <w:p w14:paraId="77B06DFB" w14:textId="77777777" w:rsidR="00E0727B" w:rsidRPr="00E0727B" w:rsidRDefault="00E0727B" w:rsidP="0099785B">
      <w:pPr>
        <w:pStyle w:val="Lijstalinea"/>
        <w:numPr>
          <w:ilvl w:val="0"/>
          <w:numId w:val="8"/>
        </w:numPr>
        <w:rPr>
          <w:bCs/>
        </w:rPr>
      </w:pPr>
      <w:r>
        <w:t>Kortverblijf/dagverzorgingscentrum</w:t>
      </w:r>
    </w:p>
    <w:p w14:paraId="467820F5" w14:textId="77777777" w:rsidR="00E0727B" w:rsidRPr="00E0727B" w:rsidRDefault="00E0727B" w:rsidP="0099785B">
      <w:pPr>
        <w:pStyle w:val="Lijstalinea"/>
        <w:numPr>
          <w:ilvl w:val="0"/>
          <w:numId w:val="8"/>
        </w:numPr>
        <w:rPr>
          <w:bCs/>
        </w:rPr>
      </w:pPr>
      <w:r>
        <w:t>Serviceflat en assistentiewoning</w:t>
      </w:r>
    </w:p>
    <w:p w14:paraId="09952AB4" w14:textId="77777777" w:rsidR="00E0727B" w:rsidRPr="00E0727B" w:rsidRDefault="00E0727B" w:rsidP="0099785B">
      <w:pPr>
        <w:pStyle w:val="Lijstalinea"/>
        <w:numPr>
          <w:ilvl w:val="0"/>
          <w:numId w:val="8"/>
        </w:numPr>
        <w:rPr>
          <w:bCs/>
        </w:rPr>
      </w:pPr>
      <w:r>
        <w:t>Woonzorgcentrum</w:t>
      </w:r>
    </w:p>
    <w:p w14:paraId="3A93EABF" w14:textId="77777777" w:rsidR="00E0727B" w:rsidRDefault="00E0727B" w:rsidP="0099785B">
      <w:pPr>
        <w:pStyle w:val="Lijstalinea"/>
        <w:numPr>
          <w:ilvl w:val="0"/>
          <w:numId w:val="8"/>
        </w:numPr>
        <w:rPr>
          <w:bCs/>
        </w:rPr>
      </w:pPr>
      <w:r>
        <w:rPr>
          <w:bCs/>
        </w:rPr>
        <w:t>Ondersteunende diensten in eerstelijnszorg</w:t>
      </w:r>
    </w:p>
    <w:p w14:paraId="57A1736F" w14:textId="77777777" w:rsidR="00E0727B" w:rsidRDefault="00E0727B" w:rsidP="00E0727B">
      <w:pPr>
        <w:pStyle w:val="Lijstalinea"/>
        <w:numPr>
          <w:ilvl w:val="1"/>
          <w:numId w:val="8"/>
        </w:numPr>
        <w:rPr>
          <w:bCs/>
        </w:rPr>
      </w:pPr>
      <w:r>
        <w:rPr>
          <w:bCs/>
        </w:rPr>
        <w:t>Vrijwillige oppasdienst</w:t>
      </w:r>
    </w:p>
    <w:p w14:paraId="67D63F31" w14:textId="77777777" w:rsidR="00E0727B" w:rsidRDefault="00E0727B" w:rsidP="00E0727B">
      <w:pPr>
        <w:pStyle w:val="Lijstalinea"/>
        <w:numPr>
          <w:ilvl w:val="1"/>
          <w:numId w:val="8"/>
        </w:numPr>
        <w:rPr>
          <w:bCs/>
        </w:rPr>
      </w:pPr>
      <w:r>
        <w:rPr>
          <w:bCs/>
        </w:rPr>
        <w:t>Palliatieve ondersteuningsequipe</w:t>
      </w:r>
    </w:p>
    <w:p w14:paraId="21431AC9" w14:textId="77777777" w:rsidR="00E0727B" w:rsidRDefault="00E0727B" w:rsidP="00E0727B">
      <w:pPr>
        <w:pStyle w:val="Lijstalinea"/>
        <w:numPr>
          <w:ilvl w:val="1"/>
          <w:numId w:val="8"/>
        </w:numPr>
        <w:rPr>
          <w:bCs/>
        </w:rPr>
      </w:pPr>
      <w:r>
        <w:rPr>
          <w:bCs/>
        </w:rPr>
        <w:t>Dienst Ondersteuningsplan</w:t>
      </w:r>
    </w:p>
    <w:p w14:paraId="26675EA6" w14:textId="77777777" w:rsidR="00E0727B" w:rsidRDefault="00E0727B" w:rsidP="00E0727B">
      <w:pPr>
        <w:pStyle w:val="Lijstalinea"/>
        <w:numPr>
          <w:ilvl w:val="1"/>
          <w:numId w:val="8"/>
        </w:numPr>
        <w:rPr>
          <w:bCs/>
        </w:rPr>
      </w:pPr>
      <w:r>
        <w:rPr>
          <w:bCs/>
        </w:rPr>
        <w:t>Rechtstreeks toegankelijke hulp</w:t>
      </w:r>
    </w:p>
    <w:p w14:paraId="66A6C0AC" w14:textId="77777777" w:rsidR="00E0727B" w:rsidRDefault="00E0727B" w:rsidP="00E0727B">
      <w:pPr>
        <w:pStyle w:val="Lijstalinea"/>
        <w:numPr>
          <w:ilvl w:val="0"/>
          <w:numId w:val="8"/>
        </w:numPr>
        <w:rPr>
          <w:bCs/>
        </w:rPr>
      </w:pPr>
      <w:r>
        <w:rPr>
          <w:bCs/>
        </w:rPr>
        <w:t>Centrum Geestelijke Gezondheidszorg</w:t>
      </w:r>
    </w:p>
    <w:p w14:paraId="263A736F" w14:textId="77777777" w:rsidR="00E0727B" w:rsidRDefault="00E0727B" w:rsidP="00E0727B">
      <w:pPr>
        <w:pStyle w:val="Lijstalinea"/>
        <w:numPr>
          <w:ilvl w:val="0"/>
          <w:numId w:val="8"/>
        </w:numPr>
        <w:rPr>
          <w:bCs/>
        </w:rPr>
      </w:pPr>
      <w:r>
        <w:rPr>
          <w:bCs/>
        </w:rPr>
        <w:t>Ziekenhuis</w:t>
      </w:r>
    </w:p>
    <w:p w14:paraId="2B6B20D9" w14:textId="77777777" w:rsidR="00E0727B" w:rsidRDefault="00E0727B" w:rsidP="00E0727B">
      <w:pPr>
        <w:pStyle w:val="Lijstalinea"/>
        <w:numPr>
          <w:ilvl w:val="1"/>
          <w:numId w:val="8"/>
        </w:numPr>
        <w:rPr>
          <w:bCs/>
        </w:rPr>
      </w:pPr>
      <w:r>
        <w:rPr>
          <w:bCs/>
        </w:rPr>
        <w:t>Algemeen ziekenhuis</w:t>
      </w:r>
    </w:p>
    <w:p w14:paraId="47D7EF29" w14:textId="77777777" w:rsidR="00E0727B" w:rsidRDefault="00E0727B" w:rsidP="00E0727B">
      <w:pPr>
        <w:pStyle w:val="Lijstalinea"/>
        <w:numPr>
          <w:ilvl w:val="1"/>
          <w:numId w:val="8"/>
        </w:numPr>
        <w:rPr>
          <w:bCs/>
        </w:rPr>
      </w:pPr>
      <w:r>
        <w:rPr>
          <w:bCs/>
        </w:rPr>
        <w:t>Psychiatrisch ziekenhuis/PVT</w:t>
      </w:r>
    </w:p>
    <w:p w14:paraId="41FED8ED" w14:textId="77777777" w:rsidR="00E0727B" w:rsidRDefault="00E0727B" w:rsidP="00E0727B">
      <w:pPr>
        <w:pStyle w:val="Lijstalinea"/>
        <w:numPr>
          <w:ilvl w:val="0"/>
          <w:numId w:val="8"/>
        </w:numPr>
        <w:rPr>
          <w:bCs/>
        </w:rPr>
      </w:pPr>
      <w:r>
        <w:rPr>
          <w:bCs/>
        </w:rPr>
        <w:t>Revalidatieovereenkomst en revalidatiecentrum</w:t>
      </w:r>
    </w:p>
    <w:p w14:paraId="68D4DE8D" w14:textId="77777777" w:rsidR="00E0727B" w:rsidRDefault="00E0727B" w:rsidP="00E0727B">
      <w:pPr>
        <w:pStyle w:val="Lijstalinea"/>
        <w:numPr>
          <w:ilvl w:val="1"/>
          <w:numId w:val="8"/>
        </w:numPr>
        <w:rPr>
          <w:bCs/>
        </w:rPr>
      </w:pPr>
      <w:r>
        <w:rPr>
          <w:bCs/>
        </w:rPr>
        <w:t>Psychosociaal</w:t>
      </w:r>
    </w:p>
    <w:p w14:paraId="496ABAFD" w14:textId="77777777" w:rsidR="00E0727B" w:rsidRDefault="00E0727B" w:rsidP="00E0727B">
      <w:pPr>
        <w:pStyle w:val="Lijstalinea"/>
        <w:numPr>
          <w:ilvl w:val="1"/>
          <w:numId w:val="8"/>
        </w:numPr>
        <w:rPr>
          <w:bCs/>
        </w:rPr>
      </w:pPr>
      <w:r>
        <w:rPr>
          <w:bCs/>
        </w:rPr>
        <w:t>Fysiek</w:t>
      </w:r>
    </w:p>
    <w:p w14:paraId="1E9447BD" w14:textId="77777777" w:rsidR="00E0727B" w:rsidRDefault="00E0727B" w:rsidP="00E0727B">
      <w:pPr>
        <w:pStyle w:val="Lijstalinea"/>
        <w:numPr>
          <w:ilvl w:val="0"/>
          <w:numId w:val="8"/>
        </w:numPr>
        <w:rPr>
          <w:bCs/>
        </w:rPr>
      </w:pPr>
      <w:r>
        <w:rPr>
          <w:bCs/>
        </w:rPr>
        <w:t>Professionele zorgaanbieders uit andere domeinen: werk, wonen, vrije tijd, justitie.</w:t>
      </w:r>
    </w:p>
    <w:p w14:paraId="3990F09B" w14:textId="77777777" w:rsidR="00E0727B" w:rsidRDefault="00E0727B" w:rsidP="00E0727B">
      <w:pPr>
        <w:pStyle w:val="Lijstalinea"/>
        <w:numPr>
          <w:ilvl w:val="0"/>
          <w:numId w:val="8"/>
        </w:numPr>
        <w:rPr>
          <w:bCs/>
        </w:rPr>
      </w:pPr>
      <w:bookmarkStart w:id="0" w:name="_GoBack"/>
      <w:bookmarkEnd w:id="0"/>
      <w:r>
        <w:rPr>
          <w:bCs/>
        </w:rPr>
        <w:t>Zelfstandige zorgaanbieders uit gespecialiseerde zorg: oogarts, cardioloog, …</w:t>
      </w:r>
    </w:p>
    <w:p w14:paraId="086B4713" w14:textId="305B600A" w:rsidR="00E0727B" w:rsidRDefault="00E0727B" w:rsidP="00E0727B">
      <w:pPr>
        <w:rPr>
          <w:bCs/>
        </w:rPr>
      </w:pPr>
    </w:p>
    <w:p w14:paraId="3C8026F7" w14:textId="77777777" w:rsidR="007A5E14" w:rsidRDefault="007A5E14" w:rsidP="00E0727B">
      <w:pPr>
        <w:rPr>
          <w:bCs/>
        </w:rPr>
      </w:pPr>
    </w:p>
    <w:p w14:paraId="16925270" w14:textId="77777777" w:rsidR="005F1FCB" w:rsidRDefault="005F1FCB" w:rsidP="005F1FCB">
      <w:pPr>
        <w:pBdr>
          <w:top w:val="thinThickSmallGap" w:sz="24" w:space="1" w:color="auto"/>
          <w:left w:val="thinThickSmallGap" w:sz="24" w:space="4" w:color="auto"/>
          <w:bottom w:val="thickThinSmallGap" w:sz="24" w:space="1" w:color="auto"/>
          <w:right w:val="thickThinSmallGap" w:sz="24" w:space="4" w:color="auto"/>
        </w:pBdr>
        <w:rPr>
          <w:bCs/>
        </w:rPr>
      </w:pPr>
      <w:r>
        <w:rPr>
          <w:bCs/>
        </w:rPr>
        <w:lastRenderedPageBreak/>
        <w:t xml:space="preserve">Opgelet! De deelnemers die in loondienst werken, ontvangen de vergoeding niet persoonlijk. De organisatie, waarvoor zij werken, ontvangt de vergoeding. </w:t>
      </w:r>
    </w:p>
    <w:p w14:paraId="06713E73" w14:textId="77777777" w:rsidR="005F1FCB" w:rsidRDefault="005F1FCB" w:rsidP="005F1FCB">
      <w:pPr>
        <w:pBdr>
          <w:top w:val="thinThickSmallGap" w:sz="24" w:space="1" w:color="auto"/>
          <w:left w:val="thinThickSmallGap" w:sz="24" w:space="4" w:color="auto"/>
          <w:bottom w:val="thickThinSmallGap" w:sz="24" w:space="1" w:color="auto"/>
          <w:right w:val="thickThinSmallGap" w:sz="24" w:space="4" w:color="auto"/>
        </w:pBdr>
        <w:rPr>
          <w:bCs/>
        </w:rPr>
      </w:pPr>
      <w:r>
        <w:rPr>
          <w:bCs/>
        </w:rPr>
        <w:t>Indien aan het overleg meerdere personen (met verschillende disciplines) deelnemen die voor eenzelfde organisatie werken, geldt deze organisatie als 1 deelnemer en ontvangt bijgevolg slechts 1 keer de vergoeding van deelname.</w:t>
      </w:r>
    </w:p>
    <w:p w14:paraId="41757840" w14:textId="77777777" w:rsidR="005F1FCB" w:rsidRDefault="005F1FCB" w:rsidP="00E0727B">
      <w:pPr>
        <w:rPr>
          <w:rStyle w:val="Intensieveverwijzing"/>
        </w:rPr>
      </w:pPr>
    </w:p>
    <w:p w14:paraId="52930B1C" w14:textId="77777777" w:rsidR="00E0727B" w:rsidRPr="00E0727B" w:rsidRDefault="00E0727B" w:rsidP="00E0727B">
      <w:pPr>
        <w:rPr>
          <w:rStyle w:val="Intensieveverwijzing"/>
        </w:rPr>
      </w:pPr>
      <w:r w:rsidRPr="00E0727B">
        <w:rPr>
          <w:rStyle w:val="Intensieveverwijzing"/>
        </w:rPr>
        <w:t>NIET VERGOEDBAAR:</w:t>
      </w:r>
    </w:p>
    <w:p w14:paraId="6E1E2588" w14:textId="7B91EB14" w:rsidR="00063D1F" w:rsidRDefault="00AD1416" w:rsidP="00063D1F">
      <w:pPr>
        <w:pStyle w:val="Lijstalinea"/>
        <w:numPr>
          <w:ilvl w:val="0"/>
          <w:numId w:val="9"/>
        </w:numPr>
      </w:pPr>
      <w:r>
        <w:t>Deelnemers met het statuut van zelfstandige, die niet behoren tot de eerstelijnszorg en die hun aanwezigheid factureren aan de persoon met een zorg- en ondersteuningsnood (bv. bewindvoerder, advocaat).</w:t>
      </w:r>
    </w:p>
    <w:p w14:paraId="27F44E36" w14:textId="670327F7" w:rsidR="00C22EDE" w:rsidRPr="00C22EDE" w:rsidRDefault="00C22EDE" w:rsidP="00063D1F">
      <w:pPr>
        <w:pStyle w:val="Lijstalinea"/>
        <w:numPr>
          <w:ilvl w:val="0"/>
          <w:numId w:val="9"/>
        </w:numPr>
      </w:pPr>
      <w:r w:rsidRPr="00C22EDE">
        <w:t>Commerciële organisaties zoals bijvoorbeeld dienstenchequebedrijven, niet gelinkt aan een door de Vlaamse Overheid erkende dienst</w:t>
      </w:r>
      <w:r>
        <w:t>.</w:t>
      </w:r>
    </w:p>
    <w:sectPr w:rsidR="00C22EDE" w:rsidRPr="00C22ED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54F4" w14:textId="77777777" w:rsidR="00C5277F" w:rsidRDefault="00C5277F" w:rsidP="00650690">
      <w:pPr>
        <w:spacing w:after="0" w:line="240" w:lineRule="auto"/>
      </w:pPr>
      <w:r>
        <w:separator/>
      </w:r>
    </w:p>
  </w:endnote>
  <w:endnote w:type="continuationSeparator" w:id="0">
    <w:p w14:paraId="7D362210" w14:textId="77777777" w:rsidR="00C5277F" w:rsidRDefault="00C5277F" w:rsidP="0065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26139"/>
      <w:docPartObj>
        <w:docPartGallery w:val="Page Numbers (Bottom of Page)"/>
        <w:docPartUnique/>
      </w:docPartObj>
    </w:sdtPr>
    <w:sdtEndPr/>
    <w:sdtContent>
      <w:sdt>
        <w:sdtPr>
          <w:id w:val="-1769616900"/>
          <w:docPartObj>
            <w:docPartGallery w:val="Page Numbers (Top of Page)"/>
            <w:docPartUnique/>
          </w:docPartObj>
        </w:sdtPr>
        <w:sdtEndPr/>
        <w:sdtContent>
          <w:p w14:paraId="6528F311" w14:textId="30095099" w:rsidR="00313A2D" w:rsidRDefault="00313A2D">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4B644759" w14:textId="77777777" w:rsidR="00313A2D" w:rsidRDefault="00313A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1C404" w14:textId="77777777" w:rsidR="00C5277F" w:rsidRDefault="00C5277F" w:rsidP="00650690">
      <w:pPr>
        <w:spacing w:after="0" w:line="240" w:lineRule="auto"/>
      </w:pPr>
      <w:r>
        <w:separator/>
      </w:r>
    </w:p>
  </w:footnote>
  <w:footnote w:type="continuationSeparator" w:id="0">
    <w:p w14:paraId="4FFB5478" w14:textId="77777777" w:rsidR="00C5277F" w:rsidRDefault="00C5277F" w:rsidP="00650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414F"/>
    <w:multiLevelType w:val="hybridMultilevel"/>
    <w:tmpl w:val="7DB02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C10292"/>
    <w:multiLevelType w:val="hybridMultilevel"/>
    <w:tmpl w:val="A7168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261053"/>
    <w:multiLevelType w:val="hybridMultilevel"/>
    <w:tmpl w:val="6D54C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3D37BC"/>
    <w:multiLevelType w:val="hybridMultilevel"/>
    <w:tmpl w:val="7F7C3E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D094BB4"/>
    <w:multiLevelType w:val="hybridMultilevel"/>
    <w:tmpl w:val="2CAAD0BC"/>
    <w:lvl w:ilvl="0" w:tplc="DE52B452">
      <w:start w:val="2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DFA5D9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9E5113"/>
    <w:multiLevelType w:val="hybridMultilevel"/>
    <w:tmpl w:val="FDA2D3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3B10BCD"/>
    <w:multiLevelType w:val="hybridMultilevel"/>
    <w:tmpl w:val="DFB4B0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B6D4E84"/>
    <w:multiLevelType w:val="hybridMultilevel"/>
    <w:tmpl w:val="F1248F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D0F02A4"/>
    <w:multiLevelType w:val="hybridMultilevel"/>
    <w:tmpl w:val="F60A7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1"/>
  </w:num>
  <w:num w:numId="6">
    <w:abstractNumId w:val="6"/>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F0"/>
    <w:rsid w:val="00063D1F"/>
    <w:rsid w:val="000B5557"/>
    <w:rsid w:val="000E49EC"/>
    <w:rsid w:val="0015411E"/>
    <w:rsid w:val="00185BAA"/>
    <w:rsid w:val="001A6132"/>
    <w:rsid w:val="001B2735"/>
    <w:rsid w:val="00204B60"/>
    <w:rsid w:val="002A1C36"/>
    <w:rsid w:val="002C4DA1"/>
    <w:rsid w:val="00313A2D"/>
    <w:rsid w:val="00354078"/>
    <w:rsid w:val="00456A8C"/>
    <w:rsid w:val="00540445"/>
    <w:rsid w:val="00565A62"/>
    <w:rsid w:val="00574066"/>
    <w:rsid w:val="005B5FDD"/>
    <w:rsid w:val="005E26F2"/>
    <w:rsid w:val="005F1FCB"/>
    <w:rsid w:val="005F3387"/>
    <w:rsid w:val="00642986"/>
    <w:rsid w:val="00650690"/>
    <w:rsid w:val="0066339E"/>
    <w:rsid w:val="00665989"/>
    <w:rsid w:val="00783B8F"/>
    <w:rsid w:val="007A5E14"/>
    <w:rsid w:val="008D7A7F"/>
    <w:rsid w:val="008E6B63"/>
    <w:rsid w:val="009645E6"/>
    <w:rsid w:val="0099785B"/>
    <w:rsid w:val="00A5531C"/>
    <w:rsid w:val="00AD1416"/>
    <w:rsid w:val="00B32C68"/>
    <w:rsid w:val="00B83859"/>
    <w:rsid w:val="00C22EDE"/>
    <w:rsid w:val="00C25F57"/>
    <w:rsid w:val="00C4182A"/>
    <w:rsid w:val="00C5277F"/>
    <w:rsid w:val="00CA4391"/>
    <w:rsid w:val="00CC02F0"/>
    <w:rsid w:val="00D849E1"/>
    <w:rsid w:val="00E0727B"/>
    <w:rsid w:val="00E37F45"/>
    <w:rsid w:val="00E70007"/>
    <w:rsid w:val="00E81A06"/>
    <w:rsid w:val="00FB4D53"/>
    <w:rsid w:val="00FF3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D4D6A"/>
  <w15:docId w15:val="{60713CF7-8E1F-4C09-87F5-8D14E2E4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411E"/>
    <w:pPr>
      <w:ind w:left="720"/>
      <w:contextualSpacing/>
    </w:pPr>
  </w:style>
  <w:style w:type="paragraph" w:styleId="Duidelijkcitaat">
    <w:name w:val="Intense Quote"/>
    <w:basedOn w:val="Standaard"/>
    <w:next w:val="Standaard"/>
    <w:link w:val="DuidelijkcitaatChar"/>
    <w:uiPriority w:val="30"/>
    <w:qFormat/>
    <w:rsid w:val="000B55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0B5557"/>
    <w:rPr>
      <w:i/>
      <w:iCs/>
      <w:color w:val="4F81BD" w:themeColor="accent1"/>
    </w:rPr>
  </w:style>
  <w:style w:type="table" w:styleId="Tabelraster">
    <w:name w:val="Table Grid"/>
    <w:basedOn w:val="Standaardtabel"/>
    <w:uiPriority w:val="59"/>
    <w:unhideWhenUsed/>
    <w:rsid w:val="000B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99785B"/>
    <w:rPr>
      <w:b/>
      <w:bCs/>
      <w:smallCaps/>
      <w:color w:val="4F81BD" w:themeColor="accent1"/>
      <w:spacing w:val="5"/>
    </w:rPr>
  </w:style>
  <w:style w:type="character" w:styleId="Verwijzingopmerking">
    <w:name w:val="annotation reference"/>
    <w:basedOn w:val="Standaardalinea-lettertype"/>
    <w:uiPriority w:val="99"/>
    <w:semiHidden/>
    <w:unhideWhenUsed/>
    <w:rsid w:val="005B5FDD"/>
    <w:rPr>
      <w:sz w:val="16"/>
      <w:szCs w:val="16"/>
    </w:rPr>
  </w:style>
  <w:style w:type="paragraph" w:styleId="Tekstopmerking">
    <w:name w:val="annotation text"/>
    <w:basedOn w:val="Standaard"/>
    <w:link w:val="TekstopmerkingChar"/>
    <w:uiPriority w:val="99"/>
    <w:semiHidden/>
    <w:unhideWhenUsed/>
    <w:rsid w:val="005B5F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5FDD"/>
    <w:rPr>
      <w:sz w:val="20"/>
      <w:szCs w:val="20"/>
    </w:rPr>
  </w:style>
  <w:style w:type="paragraph" w:styleId="Onderwerpvanopmerking">
    <w:name w:val="annotation subject"/>
    <w:basedOn w:val="Tekstopmerking"/>
    <w:next w:val="Tekstopmerking"/>
    <w:link w:val="OnderwerpvanopmerkingChar"/>
    <w:uiPriority w:val="99"/>
    <w:semiHidden/>
    <w:unhideWhenUsed/>
    <w:rsid w:val="005B5FDD"/>
    <w:rPr>
      <w:b/>
      <w:bCs/>
    </w:rPr>
  </w:style>
  <w:style w:type="character" w:customStyle="1" w:styleId="OnderwerpvanopmerkingChar">
    <w:name w:val="Onderwerp van opmerking Char"/>
    <w:basedOn w:val="TekstopmerkingChar"/>
    <w:link w:val="Onderwerpvanopmerking"/>
    <w:uiPriority w:val="99"/>
    <w:semiHidden/>
    <w:rsid w:val="005B5FDD"/>
    <w:rPr>
      <w:b/>
      <w:bCs/>
      <w:sz w:val="20"/>
      <w:szCs w:val="20"/>
    </w:rPr>
  </w:style>
  <w:style w:type="paragraph" w:styleId="Ballontekst">
    <w:name w:val="Balloon Text"/>
    <w:basedOn w:val="Standaard"/>
    <w:link w:val="BallontekstChar"/>
    <w:uiPriority w:val="99"/>
    <w:semiHidden/>
    <w:unhideWhenUsed/>
    <w:rsid w:val="005B5F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5FDD"/>
    <w:rPr>
      <w:rFonts w:ascii="Segoe UI" w:hAnsi="Segoe UI" w:cs="Segoe UI"/>
      <w:sz w:val="18"/>
      <w:szCs w:val="18"/>
    </w:rPr>
  </w:style>
  <w:style w:type="paragraph" w:styleId="Koptekst">
    <w:name w:val="header"/>
    <w:basedOn w:val="Standaard"/>
    <w:link w:val="KoptekstChar"/>
    <w:uiPriority w:val="99"/>
    <w:unhideWhenUsed/>
    <w:rsid w:val="00313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A2D"/>
  </w:style>
  <w:style w:type="paragraph" w:styleId="Voettekst">
    <w:name w:val="footer"/>
    <w:basedOn w:val="Standaard"/>
    <w:link w:val="VoettekstChar"/>
    <w:uiPriority w:val="99"/>
    <w:unhideWhenUsed/>
    <w:rsid w:val="00313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354">
      <w:bodyDiv w:val="1"/>
      <w:marLeft w:val="0"/>
      <w:marRight w:val="0"/>
      <w:marTop w:val="0"/>
      <w:marBottom w:val="0"/>
      <w:divBdr>
        <w:top w:val="none" w:sz="0" w:space="0" w:color="auto"/>
        <w:left w:val="none" w:sz="0" w:space="0" w:color="auto"/>
        <w:bottom w:val="none" w:sz="0" w:space="0" w:color="auto"/>
        <w:right w:val="none" w:sz="0" w:space="0" w:color="auto"/>
      </w:divBdr>
    </w:div>
    <w:div w:id="19582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ZG Document" ma:contentTypeID="0x010100E5B23CBEC15EF443818A347F7744E75800709B4CDA439ED64C903CAB16B39F02EC" ma:contentTypeVersion="7" ma:contentTypeDescription="Het basis content type “ZG Document” is een basis voor content types voor in documentbibliotheken." ma:contentTypeScope="" ma:versionID="18d58423955edb7d8cad932390ead027">
  <xsd:schema xmlns:xsd="http://www.w3.org/2001/XMLSchema" xmlns:xs="http://www.w3.org/2001/XMLSchema" xmlns:p="http://schemas.microsoft.com/office/2006/metadata/properties" xmlns:ns2="9a9ec0f0-7796-43d0-ac1f-4c8c46ee0bd1" targetNamespace="http://schemas.microsoft.com/office/2006/metadata/properties" ma:root="true" ma:fieldsID="9d3d414ae7e916d91807f839a2001bd1"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1;#Eerste lijn|efe5ef14-ff28-49c2-8320-f251ae633c1f"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Ad hoc financiering</TermName>
          <TermId xmlns="http://schemas.microsoft.com/office/infopath/2007/PartnerControls">5d01ebc9-3222-4bbe-be0e-9768d4a201b5</TermId>
        </TermInfo>
      </Terms>
    </g3014de8249d42afad66165e3d2261e7>
    <TaxCatchAll xmlns="9a9ec0f0-7796-43d0-ac1f-4c8c46ee0bd1">
      <Value>10</Value>
      <Value>1</Value>
    </TaxCatchAll>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Eerste lijn</TermName>
          <TermId xmlns="http://schemas.microsoft.com/office/infopath/2007/PartnerControls">efe5ef14-ff28-49c2-8320-f251ae633c1f</TermId>
        </TermInfo>
      </Terms>
    </i2d81646cf3b4af085db4e59f76b227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68AC5-7791-4616-8B47-91AFE176AD8C}">
  <ds:schemaRefs>
    <ds:schemaRef ds:uri="Microsoft.SharePoint.Taxonomy.ContentTypeSync"/>
  </ds:schemaRefs>
</ds:datastoreItem>
</file>

<file path=customXml/itemProps2.xml><?xml version="1.0" encoding="utf-8"?>
<ds:datastoreItem xmlns:ds="http://schemas.openxmlformats.org/officeDocument/2006/customXml" ds:itemID="{8FAF3FD0-840F-4719-BE19-D092F9256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DEF63-5606-45A3-93A3-3C3F856B9AA6}">
  <ds:schemaRefs>
    <ds:schemaRef ds:uri="http://purl.org/dc/terms/"/>
    <ds:schemaRef ds:uri="9a9ec0f0-7796-43d0-ac1f-4c8c46ee0bd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571CA22-E89A-4B89-B57B-613FC04CC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Driessche Kristel</dc:creator>
  <cp:lastModifiedBy>Fredrix Karen</cp:lastModifiedBy>
  <cp:revision>4</cp:revision>
  <dcterms:created xsi:type="dcterms:W3CDTF">2020-04-02T11:48:00Z</dcterms:created>
  <dcterms:modified xsi:type="dcterms:W3CDTF">2020-05-05T09:13:00Z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G Subthema">
    <vt:lpwstr>10;#Ad hoc financiering|5d01ebc9-3222-4bbe-be0e-9768d4a201b5</vt:lpwstr>
  </property>
  <property fmtid="{D5CDD505-2E9C-101B-9397-08002B2CF9AE}" pid="3" name="ContentTypeId">
    <vt:lpwstr>0x010100E5B23CBEC15EF443818A347F7744E75800709B4CDA439ED64C903CAB16B39F02EC</vt:lpwstr>
  </property>
  <property fmtid="{D5CDD505-2E9C-101B-9397-08002B2CF9AE}" pid="4" name="ZG Thema">
    <vt:lpwstr>1;#Eerste lijn|efe5ef14-ff28-49c2-8320-f251ae633c1f</vt:lpwstr>
  </property>
</Properties>
</file>